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CC6C" w14:textId="77777777" w:rsidR="00ED7C2F" w:rsidRDefault="00ED7C2F" w:rsidP="00ED7C2F">
      <w:pPr>
        <w:widowControl w:val="0"/>
        <w:autoSpaceDE w:val="0"/>
        <w:autoSpaceDN w:val="0"/>
        <w:adjustRightInd w:val="0"/>
        <w:rPr>
          <w:b/>
          <w:bCs/>
          <w:lang w:val="x-none"/>
        </w:rPr>
      </w:pPr>
    </w:p>
    <w:p w14:paraId="169FF77B" w14:textId="6729E5A5" w:rsidR="00ED7C2F" w:rsidRDefault="00ED7C2F" w:rsidP="00ED7C2F">
      <w:pPr>
        <w:widowControl w:val="0"/>
        <w:autoSpaceDE w:val="0"/>
        <w:autoSpaceDN w:val="0"/>
        <w:adjustRightInd w:val="0"/>
        <w:rPr>
          <w:b/>
          <w:bCs/>
          <w:lang w:val="x-none"/>
        </w:rPr>
      </w:pPr>
      <w:r>
        <w:rPr>
          <w:b/>
          <w:bCs/>
          <w:lang w:val="x-none"/>
        </w:rPr>
        <w:t xml:space="preserve">CONTRATO Nº 2022170103     </w:t>
      </w:r>
    </w:p>
    <w:p w14:paraId="11E5E089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AE399BF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88E1425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Pelo presente instrumento de Contrato, de um lado o Município de SANTARÉM NOVO, através do(a) FUNDO MUNICIPAL DE ASSISTENCIA SOCIAL, CNPJ-MF, Nº 18.245.710/0001-47, denominado daqui por diante de CONTRATANTE,  representado neste ato pelo(a) Sr.(a) PAULA DANIELE DA ROCHA MENDES,  Secretária de </w:t>
      </w:r>
      <w:proofErr w:type="spellStart"/>
      <w:r>
        <w:rPr>
          <w:lang w:val="x-none"/>
        </w:rPr>
        <w:t>Assistencia</w:t>
      </w:r>
      <w:proofErr w:type="spellEnd"/>
      <w:r>
        <w:rPr>
          <w:lang w:val="x-none"/>
        </w:rPr>
        <w:t xml:space="preserve"> Social, portador do CPF nº 005.161.352-28, residente na Rua da Mocidade, nº151,  e do outro lado RONALDO NAZARENO BARRA DE LEÃO 42872502220,    CNPJ 41.032.008/0001-17, com sede na AV.FRANCISCO MARTINS DE OLIVEIRA Nº 187., CENTRO, Santarém </w:t>
      </w:r>
      <w:proofErr w:type="spellStart"/>
      <w:r>
        <w:rPr>
          <w:lang w:val="x-none"/>
        </w:rPr>
        <w:t>Novo-PA</w:t>
      </w:r>
      <w:proofErr w:type="spellEnd"/>
      <w:r>
        <w:rPr>
          <w:lang w:val="x-none"/>
        </w:rPr>
        <w:t xml:space="preserve">, CEP 68720-000, de agora em diante  denominada CONTRATADA(O), neste ato representado pelo(a) </w:t>
      </w:r>
      <w:proofErr w:type="spellStart"/>
      <w:r>
        <w:rPr>
          <w:lang w:val="x-none"/>
        </w:rPr>
        <w:t>Sr</w:t>
      </w:r>
      <w:proofErr w:type="spellEnd"/>
      <w:r>
        <w:rPr>
          <w:lang w:val="x-none"/>
        </w:rPr>
        <w:t xml:space="preserve">(a).    RONALDO NAZARENO BARRA DE LEÃO, residente na AV. FRANCISCO MARTINS DE OLIVEIRA, Nº187, CENTRO, Santarém </w:t>
      </w:r>
      <w:proofErr w:type="spellStart"/>
      <w:r>
        <w:rPr>
          <w:lang w:val="x-none"/>
        </w:rPr>
        <w:t>Novo-PA</w:t>
      </w:r>
      <w:proofErr w:type="spellEnd"/>
      <w:r>
        <w:rPr>
          <w:lang w:val="x-none"/>
        </w:rPr>
        <w:t>, CEP 68720-000, portador do(a) CPF 428.725.022-20, têm justo e contratado o seguinte:</w:t>
      </w:r>
    </w:p>
    <w:p w14:paraId="0DA7AE87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4DF37C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26B92C1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PRIMEIRA - DO OBJETO CONTRATUAL</w:t>
      </w:r>
    </w:p>
    <w:p w14:paraId="63E9B84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84F3E2F" w14:textId="646FBBA5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1.1 - CONTRATAÇÃO DE EMPRESA PARA PRESTAÇÃO DE SERVIÇOS GRÁFICOS DESTINADOS A SUPRIR AS NECESSIDADES BÁSICAS DA SECRETARIA MUNICIPAL DE ASSISTÊNCIA SOCIAL, NESTE MUNICÍPIO.</w:t>
      </w:r>
    </w:p>
    <w:p w14:paraId="2D7E8747" w14:textId="6A187C91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86FB558" w14:textId="12356283" w:rsidR="00ED7C2F" w:rsidRDefault="00ED7C2F" w:rsidP="00ED7C2F">
      <w:pPr>
        <w:widowControl w:val="0"/>
        <w:autoSpaceDE w:val="0"/>
        <w:autoSpaceDN w:val="0"/>
        <w:adjustRightInd w:val="0"/>
        <w:jc w:val="both"/>
      </w:pPr>
      <w:r>
        <w:t>1.2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419"/>
        <w:gridCol w:w="1134"/>
        <w:gridCol w:w="992"/>
        <w:gridCol w:w="1276"/>
        <w:gridCol w:w="1134"/>
      </w:tblGrid>
      <w:tr w:rsidR="00ED7C2F" w:rsidRPr="00ED7C2F" w14:paraId="2DDB7279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ED11" w14:textId="77777777" w:rsidR="00ED7C2F" w:rsidRPr="00ED7C2F" w:rsidRDefault="00ED7C2F" w:rsidP="00ED7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C2F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6158" w14:textId="77777777" w:rsidR="00ED7C2F" w:rsidRPr="00ED7C2F" w:rsidRDefault="00ED7C2F" w:rsidP="00ED7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C2F"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6E50" w14:textId="77777777" w:rsidR="00ED7C2F" w:rsidRPr="00ED7C2F" w:rsidRDefault="00ED7C2F" w:rsidP="00ED7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C2F">
              <w:rPr>
                <w:rFonts w:ascii="Arial" w:hAnsi="Arial" w:cs="Arial"/>
                <w:sz w:val="16"/>
                <w:szCs w:val="16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C662" w14:textId="77777777" w:rsidR="00ED7C2F" w:rsidRPr="00ED7C2F" w:rsidRDefault="00ED7C2F" w:rsidP="00ED7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7C2F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76D7" w14:textId="20D4E65B" w:rsidR="00ED7C2F" w:rsidRPr="00ED7C2F" w:rsidRDefault="00ED7C2F" w:rsidP="00ED7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</w:t>
            </w:r>
            <w:r w:rsidRPr="00ED7C2F">
              <w:rPr>
                <w:rFonts w:ascii="Arial" w:hAnsi="Arial" w:cs="Arial"/>
                <w:sz w:val="16"/>
                <w:szCs w:val="16"/>
              </w:rPr>
              <w:t>UNITÁRIO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FCC2" w14:textId="405C4919" w:rsidR="00ED7C2F" w:rsidRPr="00ED7C2F" w:rsidRDefault="00ED7C2F" w:rsidP="00ED7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</w:t>
            </w:r>
            <w:r w:rsidRPr="00ED7C2F">
              <w:rPr>
                <w:rFonts w:ascii="Arial" w:hAnsi="Arial" w:cs="Arial"/>
                <w:sz w:val="16"/>
                <w:szCs w:val="16"/>
              </w:rPr>
              <w:t>TOTAL R$</w:t>
            </w:r>
          </w:p>
        </w:tc>
      </w:tr>
      <w:tr w:rsidR="00ED7C2F" w:rsidRPr="00ED7C2F" w14:paraId="2970C323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72F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36636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8E01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REQUISIÇÃO DE COMBUSTÍVEL 100 FOLHAS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10C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714A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 xml:space="preserve">BLOCO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0C1D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B0D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</w:tr>
      <w:tr w:rsidR="00ED7C2F" w:rsidRPr="00ED7C2F" w14:paraId="7609B80B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F25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6894" w14:textId="77777777" w:rsidR="00ED7C2F" w:rsidRPr="00ED7C2F" w:rsidRDefault="00ED7C2F" w:rsidP="00ED7C2F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tamanho 12x21cm, papel </w:t>
            </w:r>
            <w:proofErr w:type="spellStart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>ap</w:t>
            </w:r>
            <w:proofErr w:type="spellEnd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75g, 1x0 cor.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3CF8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5D2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6F4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B49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</w:tr>
      <w:tr w:rsidR="00ED7C2F" w:rsidRPr="00ED7C2F" w14:paraId="3BAF9AE0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6BE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36637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84D4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REQUISIÇÃO DE GENEROS ALIMENTICIOS 100 FOLHAS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2EC8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9323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 xml:space="preserve">BLOCO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6F72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380F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</w:tr>
      <w:tr w:rsidR="00ED7C2F" w:rsidRPr="00ED7C2F" w14:paraId="3F36FF9B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DED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7309" w14:textId="77777777" w:rsidR="00ED7C2F" w:rsidRPr="00ED7C2F" w:rsidRDefault="00ED7C2F" w:rsidP="00ED7C2F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tamanho 12x21cm, papel </w:t>
            </w:r>
            <w:proofErr w:type="spellStart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>ap</w:t>
            </w:r>
            <w:proofErr w:type="spellEnd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75g, 1x0 cor.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C50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EA53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402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31C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</w:tr>
      <w:tr w:rsidR="00ED7C2F" w:rsidRPr="00ED7C2F" w14:paraId="7AC6C3AC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D42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36640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8F8C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BANNERS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2493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204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EB88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B692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9000,00</w:t>
            </w:r>
          </w:p>
        </w:tc>
      </w:tr>
      <w:tr w:rsidR="00ED7C2F" w:rsidRPr="00ED7C2F" w14:paraId="1DB2B94D" w14:textId="77777777" w:rsidTr="00ED7C2F">
        <w:trPr>
          <w:trHeight w:val="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8603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E38D" w14:textId="162B2405" w:rsidR="00ED7C2F" w:rsidRPr="00ED7C2F" w:rsidRDefault="00ED7C2F" w:rsidP="00ED7C2F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>Especificação: MEDINDO: 100X150CM, IMPRESSÃO EM POLICROMIA, SOBRE LONA VINILICA, ACABAMENTO COM DUAS HASTES, UMA EM CADA EXTREMIDADE, SENDO UMA CORDA DE SUSTENTAÇÃO PARA SUPORTE DESMONTAVEL.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9DB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52FD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71E1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8089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</w:tr>
      <w:tr w:rsidR="00ED7C2F" w:rsidRPr="00ED7C2F" w14:paraId="1958E4C6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4EB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36643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532E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FOLDER INFORMATIVO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669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0A7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5BF6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CD41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1800,00</w:t>
            </w:r>
          </w:p>
        </w:tc>
      </w:tr>
      <w:tr w:rsidR="00ED7C2F" w:rsidRPr="00ED7C2F" w14:paraId="4097069A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2F37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F5B1" w14:textId="77777777" w:rsidR="00ED7C2F" w:rsidRPr="00ED7C2F" w:rsidRDefault="00ED7C2F" w:rsidP="00ED7C2F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TAM. 21X29,7CM, PAPEL COUCHÊ 115G, 4X4 COR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848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7A3E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45F5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B301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</w:tr>
      <w:tr w:rsidR="00ED7C2F" w:rsidRPr="00ED7C2F" w14:paraId="544E182B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2898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36646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4993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CONVITES PARA EVENTOS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125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683,000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02A7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52E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90DB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2049,00</w:t>
            </w:r>
          </w:p>
        </w:tc>
      </w:tr>
      <w:tr w:rsidR="00ED7C2F" w:rsidRPr="00ED7C2F" w14:paraId="678F75B8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811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13FA" w14:textId="77777777" w:rsidR="00ED7C2F" w:rsidRPr="00ED7C2F" w:rsidRDefault="00ED7C2F" w:rsidP="00ED7C2F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Formato A4 em Policromia Frente e Verso no Papel Couchê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A4AA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F683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B0AB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8FC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</w:tr>
      <w:tr w:rsidR="00ED7C2F" w:rsidRPr="00ED7C2F" w14:paraId="59FC43E7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C86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10133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4AA3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PANFLETO DE DIVULGAÇÃO PARA EVENTOS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03E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680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AD61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D20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1600,00</w:t>
            </w:r>
          </w:p>
        </w:tc>
      </w:tr>
      <w:tr w:rsidR="00ED7C2F" w:rsidRPr="00ED7C2F" w14:paraId="4541C819" w14:textId="77777777" w:rsidTr="00ED7C2F">
        <w:trPr>
          <w:trHeight w:val="3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65C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3169" w14:textId="77777777" w:rsidR="00ED7C2F" w:rsidRPr="00ED7C2F" w:rsidRDefault="00ED7C2F" w:rsidP="00ED7C2F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>Especificação :</w:t>
            </w:r>
            <w:proofErr w:type="gramEnd"/>
            <w:r w:rsidRPr="00ED7C2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FORMATO A4 EM POLICROMIA FRENTE E VERSO NO PAPEL COUCHÊ 230 BRILHO ACAB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8543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2A51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2A23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49D8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</w:tr>
      <w:tr w:rsidR="00ED7C2F" w:rsidRPr="00ED7C2F" w14:paraId="09D5BE00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EC0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10016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1329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CARIMBOS AUTOMATICOS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CA55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DDAB" w14:textId="77777777" w:rsidR="00ED7C2F" w:rsidRPr="00ED7C2F" w:rsidRDefault="00ED7C2F" w:rsidP="00ED7C2F">
            <w:pPr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B33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AD0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7C2F">
              <w:rPr>
                <w:rFonts w:ascii="Arial" w:hAnsi="Arial" w:cs="Arial"/>
                <w:sz w:val="14"/>
                <w:szCs w:val="14"/>
              </w:rPr>
              <w:t>2250,00</w:t>
            </w:r>
          </w:p>
        </w:tc>
      </w:tr>
      <w:tr w:rsidR="00ED7C2F" w:rsidRPr="00ED7C2F" w14:paraId="0BF0026A" w14:textId="77777777" w:rsidTr="00ED7C2F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B0B5" w14:textId="77777777" w:rsidR="00ED7C2F" w:rsidRPr="00ED7C2F" w:rsidRDefault="00ED7C2F" w:rsidP="00ED7C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FE20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8343" w14:textId="77777777" w:rsidR="00ED7C2F" w:rsidRPr="00ED7C2F" w:rsidRDefault="00ED7C2F" w:rsidP="00ED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6321" w14:textId="77777777" w:rsidR="00ED7C2F" w:rsidRPr="00ED7C2F" w:rsidRDefault="00ED7C2F" w:rsidP="00ED7C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AEE5" w14:textId="77777777" w:rsidR="00ED7C2F" w:rsidRPr="00ED7C2F" w:rsidRDefault="00ED7C2F" w:rsidP="00ED7C2F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D7C2F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7317" w14:textId="1011A006" w:rsidR="00ED7C2F" w:rsidRPr="00ED7C2F" w:rsidRDefault="00ED7C2F" w:rsidP="00ED7C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7C2F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D7C2F">
              <w:rPr>
                <w:rFonts w:ascii="Arial" w:hAnsi="Arial" w:cs="Arial"/>
                <w:sz w:val="16"/>
                <w:szCs w:val="16"/>
              </w:rPr>
              <w:t>499,00</w:t>
            </w:r>
          </w:p>
        </w:tc>
      </w:tr>
    </w:tbl>
    <w:p w14:paraId="2510F36A" w14:textId="77777777" w:rsidR="00ED7C2F" w:rsidRPr="00ED7C2F" w:rsidRDefault="00ED7C2F" w:rsidP="00ED7C2F">
      <w:pPr>
        <w:widowControl w:val="0"/>
        <w:autoSpaceDE w:val="0"/>
        <w:autoSpaceDN w:val="0"/>
        <w:adjustRightInd w:val="0"/>
        <w:jc w:val="both"/>
      </w:pPr>
    </w:p>
    <w:p w14:paraId="33114201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81DEB4B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6ED8684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SEGUNDA - DA FUNDAMENTAÇÃO LEGAL</w:t>
      </w:r>
    </w:p>
    <w:p w14:paraId="7F261375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2C5666A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2.1 - Este contrato fundamenta-se no art. 24, inciso II da Lei nº 8.666/93, de 21 de junho de 1993, e suas posteriores alterações.</w:t>
      </w:r>
    </w:p>
    <w:p w14:paraId="19F6D48A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2D44787E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6CF42C1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lastRenderedPageBreak/>
        <w:t>CLÁUSULA TERCEIRA - DOS ENCARGOS, OBRIGAÇÕES E RESPONSABILIDADES DA CONTRATADA</w:t>
      </w:r>
    </w:p>
    <w:p w14:paraId="4840BCCE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6980ABE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3.1. Executar o objeto deste contrato de acordo com as condições e prazos estabelecidas neste termo contratual;</w:t>
      </w:r>
    </w:p>
    <w:p w14:paraId="41E1080B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0FE72E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3.2. Assumir a responsabilidade por quaisquer danos ou prejuízos causados ao patrimônio do CONTRATANTE ou a terceiros, quando no desempenho de suas atividades profissionais, objeto deste contrato;</w:t>
      </w:r>
    </w:p>
    <w:p w14:paraId="6C8BBB45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79C49DD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3.3.  Encaminhar para o Setor Financeiro da(o) FUNDO MUNICIPAL DE ASSISTENCIA SOCIAL as notas de empenhos e respectivas  notas fiscais/faturas concernentes ao objeto contratual;</w:t>
      </w:r>
    </w:p>
    <w:p w14:paraId="51CA909B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631A64A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0694F693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BC421F2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3.5. Manter, durante toda a execução do contrato, em compatibilidade com as obrigações assumidas, todas as condições de habilitação e qualificação exigidas na assinatura deste Contrato.</w:t>
      </w:r>
    </w:p>
    <w:p w14:paraId="4E5711C3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D513F4D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3.6. Providenciar a imediata correção das deficiências  e ou  irregularidades apontadas pela Contratante;</w:t>
      </w:r>
    </w:p>
    <w:p w14:paraId="30F66888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814F11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3.7. Aceitar nas mesmas condições contratuais os acréscimos e supressões  até o limite fixado no § 1º, do art. 65, da Lei nº 8.666/93 e suas alterações posteriores.</w:t>
      </w:r>
    </w:p>
    <w:p w14:paraId="5672B8DB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0A2A82CD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BE8B2C3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QUARTA - DAS RESPONSABILIDADES DO CONTRATANTE</w:t>
      </w:r>
    </w:p>
    <w:p w14:paraId="491EB6D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A58FAF9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4.1. A Contratante se obriga a proporcionar à Contratada todas as condições necessárias ao pleno cumprimento das obrigações decorrentes do Termo Contratual, consoante estabelece a Lei nº  8.666/93 e suas alterações posteriores;</w:t>
      </w:r>
    </w:p>
    <w:p w14:paraId="02A0E40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1586B2E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4.2. Fiscalizar e acompanhar a execução do objeto contratual;</w:t>
      </w:r>
    </w:p>
    <w:p w14:paraId="6814BBF9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E7C1E63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4.3. Comunicar à Contratada toda e qualquer ocorrência relacionada com a execução do objeto contratual, diligenciando nos casos que exigem providências corretivas;</w:t>
      </w:r>
    </w:p>
    <w:p w14:paraId="7AA6C17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6A59A642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4.4. Providenciar os pagamentos à Contratada à vista das Notas Fiscais/Faturas devidamente atestadas pelo Setor Competente.</w:t>
      </w:r>
    </w:p>
    <w:p w14:paraId="0C4C27B1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609B727D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684004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QUINTA - DA VIGÊNCIA</w:t>
      </w:r>
    </w:p>
    <w:p w14:paraId="510C4A1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5F840097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5.1 - A vigência deste instrumento contratual iniciará em 17 de Janeiro de 2022 extinguindo-se em 31 de Dezembro de 2022, podendo ser prorrogado de acordo com a lei.</w:t>
      </w:r>
    </w:p>
    <w:p w14:paraId="66179AB0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296391D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819EBF2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SEXTA - DA RESCISÃO</w:t>
      </w:r>
    </w:p>
    <w:p w14:paraId="257D77A9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59645294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78C0DCD7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9E5259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06DF9A2D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SÉTIMA - DAS PENALIDADES</w:t>
      </w:r>
    </w:p>
    <w:p w14:paraId="4B2A6A0B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532FC97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00110979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28A5078D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ab/>
        <w:t>-    Advertência;</w:t>
      </w:r>
    </w:p>
    <w:p w14:paraId="5E1F869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ab/>
        <w:t>-    Multa;</w:t>
      </w:r>
    </w:p>
    <w:p w14:paraId="7A7B123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ab/>
        <w:t>-    Suspensão temporária de participações em licitações promovidas com o CONTRATANTE, impedimento de contratar com o mesmo, por prazo não superior a 02 (dois) anos;</w:t>
      </w:r>
    </w:p>
    <w:p w14:paraId="5E76AD22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09DCD39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7ADD9F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7.2. A multa prevista acima será a seguinte:</w:t>
      </w:r>
    </w:p>
    <w:p w14:paraId="63909719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D019258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ab/>
        <w:t>-    Até 10% (dez por cento) do valor total contratado, no caso de sua não realização e/ou descumprimento de alguma das cláusulas contratuais;</w:t>
      </w:r>
    </w:p>
    <w:p w14:paraId="005801E7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B4DBCC8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7.3. As sanções previstas nos itens acima poderão ser aplicadas cumulativamente, facultada a defesa prévia do interessado no prazo de 05 (cinco) dias úteis;</w:t>
      </w:r>
    </w:p>
    <w:p w14:paraId="0050118A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ABD8492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739399A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007B526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7.5. O pagamento da multa não eximirá a CONTRATADA de corrigir as irregularidades que deram causa à penalidade;</w:t>
      </w:r>
    </w:p>
    <w:p w14:paraId="1614D0B9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7980F7E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7.6. O CONTRATANTE deverá notificar a CONTRATADA, por escrito, de qualquer anormalidade constatada durante a prestação dos serviços, para adoção das providências cabíveis;</w:t>
      </w:r>
    </w:p>
    <w:p w14:paraId="5F972249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40B3405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7CD77410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08C7841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57EE4BED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OITAVA - DO VALOR E REAJUSTE</w:t>
      </w:r>
    </w:p>
    <w:p w14:paraId="6BE395BE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4F48147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8.1 - O valor total da presente avença é de R$ 17.499,00 (dezessete mil, quatrocentos e noventa e nove reais), a ser pago no prazo de até trinta dias, contado a partir da data final do período de adimplemento da obrigação, na proporção dos serviços efetivamente prestados no período respectivo, </w:t>
      </w:r>
      <w:r>
        <w:rPr>
          <w:lang w:val="x-none"/>
        </w:rPr>
        <w:lastRenderedPageBreak/>
        <w:t xml:space="preserve">segundo as autorizações expedidas pelo(a) FUNDO MUNICIPAL DE ASSISTENCIA SOCIAL e de conformidade com as notas fiscais/faturas e/ou recibos devidamente atestadas pelo setor competente, observadas a condições da proposta adjudicada e da </w:t>
      </w:r>
      <w:proofErr w:type="spellStart"/>
      <w:r>
        <w:rPr>
          <w:lang w:val="x-none"/>
        </w:rPr>
        <w:t>órdem</w:t>
      </w:r>
      <w:proofErr w:type="spellEnd"/>
      <w:r>
        <w:rPr>
          <w:lang w:val="x-none"/>
        </w:rPr>
        <w:t xml:space="preserve"> de serviço emitida.</w:t>
      </w:r>
    </w:p>
    <w:p w14:paraId="03103FF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21727891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Parágrafo Único - Havendo atraso no pagamento, desde que não decorre 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3F880EFF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61B41F95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562C73E4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NONA - DA DOTAÇÃO ORÇAMENTÁRIA</w:t>
      </w:r>
    </w:p>
    <w:p w14:paraId="0266C6BA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BE27954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9.1 - As despesas contratuais correrão por conta da verba do orçamento do(a) CONTRATANTE, na dotação orçamentária Exercício 2022 Atividade 0502.081220132.2.107 Manutenção dos Serviços Administrativos da SEMAS, Classificação econômica 3.3.90.39.00 Outros serv. de </w:t>
      </w:r>
      <w:proofErr w:type="spellStart"/>
      <w:r>
        <w:rPr>
          <w:lang w:val="x-none"/>
        </w:rPr>
        <w:t>terc</w:t>
      </w:r>
      <w:proofErr w:type="spellEnd"/>
      <w:r>
        <w:rPr>
          <w:lang w:val="x-none"/>
        </w:rPr>
        <w:t>. pessoa jurídica, Subelemento 3.3.90.39.63, no valor de R$ 17.499,00, ficando o saldo pertinente aos demais exercícios a ser empenhado oportunamente, à conta dos respectivos orçamentos, caso seja necessário.</w:t>
      </w:r>
    </w:p>
    <w:p w14:paraId="7A55685A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9913790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30D5453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DÉCIMA - DAS ALTERAÇÕES CONTRATUAIS</w:t>
      </w:r>
    </w:p>
    <w:p w14:paraId="0168B2C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289FE9E4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10.1 - O presente contrato poderá ser alterado, nos casos previstos no artigo 65 da Lei n.º 8.666/93, desde que haja interesse da Administração do CONTRATANTE, com a apresentação das devidas justificativas.</w:t>
      </w:r>
    </w:p>
    <w:p w14:paraId="19DCA8FF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14C0375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C2D8645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b/>
          <w:bCs/>
          <w:lang w:val="x-none"/>
        </w:rPr>
      </w:pPr>
      <w:r>
        <w:rPr>
          <w:b/>
          <w:bCs/>
          <w:lang w:val="x-none"/>
        </w:rPr>
        <w:t>CLÁUSULA DÉCIMA PRIMEIRA - DO FORO, BASE LEGAL E FORMALIDADES</w:t>
      </w:r>
    </w:p>
    <w:p w14:paraId="1984D04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737B52D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11.1 - Este Contrato encontra-se subordinado a </w:t>
      </w:r>
      <w:proofErr w:type="spellStart"/>
      <w:r>
        <w:rPr>
          <w:lang w:val="x-none"/>
        </w:rPr>
        <w:t>legislaÇão</w:t>
      </w:r>
      <w:proofErr w:type="spellEnd"/>
      <w:r>
        <w:rPr>
          <w:lang w:val="x-none"/>
        </w:rPr>
        <w:t xml:space="preserve"> específica, consubstanciada na Lei nº 8.666, de 21 de junho de 1993 e suas posteriores alterações, e, em casos omissos, aos preceitos de direito público, teoria geral de contratos e disposições de direito privado.</w:t>
      </w:r>
    </w:p>
    <w:p w14:paraId="4F2E305A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A01BE98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11.2 - Fica eleito o Foro da cidade de SANTARÉM NOVO, como o único capaz de dirimir as dúvidas oriundas deste Contrato, caso não sejam dirimidas amigavelmente.</w:t>
      </w:r>
    </w:p>
    <w:p w14:paraId="6FF99526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54DBBB07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11.3 -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14:paraId="0CA2EED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61B2364D" w14:textId="0F34AF3E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14:paraId="7333A5AD" w14:textId="77777777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14:paraId="0CDA13A6" w14:textId="77777777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   SANTARÉM NOVO-PA, 17 de Janeiro de 2022</w:t>
      </w:r>
    </w:p>
    <w:p w14:paraId="25307B75" w14:textId="1F67DAFB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6E488FD8" w14:textId="70C3484D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0EB9B57A" w14:textId="0573B468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2DCBE44" w14:textId="297C114B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7B034E1" w14:textId="5DE94BEA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5A124857" w14:textId="0A6E26DF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ED5F6C1" w14:textId="3168175E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01552F0B" w14:textId="3BFA6DD2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1153ED4E" w14:textId="5BC38A5F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7A051D3" w14:textId="7416C274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282ED899" w14:textId="2838342F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0F36B74F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4FFCFB2A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373C54EC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2092B355" w14:textId="77777777" w:rsidR="00ED7C2F" w:rsidRPr="00ED7C2F" w:rsidRDefault="00ED7C2F" w:rsidP="00ED7C2F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>
        <w:rPr>
          <w:lang w:val="x-none"/>
        </w:rPr>
        <w:t xml:space="preserve">    </w:t>
      </w:r>
      <w:r w:rsidRPr="00ED7C2F">
        <w:rPr>
          <w:b/>
          <w:bCs/>
          <w:lang w:val="x-none"/>
        </w:rPr>
        <w:t>FUNDO MUNICIPAL DE ASSISTENCIA SOCIAL</w:t>
      </w:r>
    </w:p>
    <w:p w14:paraId="36F6964D" w14:textId="77777777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  CNPJ(MF)  18.245.710/0001-47</w:t>
      </w:r>
    </w:p>
    <w:p w14:paraId="2CF0DA52" w14:textId="77777777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   CONTRATANTE</w:t>
      </w:r>
    </w:p>
    <w:p w14:paraId="2EF4472B" w14:textId="77777777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14:paraId="6C5B0C1E" w14:textId="5C6FFA65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14:paraId="4EE5E083" w14:textId="63E2EA0A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14:paraId="1339636B" w14:textId="1BA7B4EC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14:paraId="0BD48C4B" w14:textId="77777777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14:paraId="7BECD062" w14:textId="77777777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</w:p>
    <w:p w14:paraId="4703389C" w14:textId="77777777" w:rsidR="00ED7C2F" w:rsidRPr="00ED7C2F" w:rsidRDefault="00ED7C2F" w:rsidP="00ED7C2F">
      <w:pPr>
        <w:widowControl w:val="0"/>
        <w:autoSpaceDE w:val="0"/>
        <w:autoSpaceDN w:val="0"/>
        <w:adjustRightInd w:val="0"/>
        <w:jc w:val="center"/>
        <w:rPr>
          <w:b/>
          <w:bCs/>
          <w:lang w:val="x-none"/>
        </w:rPr>
      </w:pPr>
      <w:r>
        <w:rPr>
          <w:lang w:val="x-none"/>
        </w:rPr>
        <w:t xml:space="preserve">    </w:t>
      </w:r>
      <w:r w:rsidRPr="00ED7C2F">
        <w:rPr>
          <w:b/>
          <w:bCs/>
          <w:lang w:val="x-none"/>
        </w:rPr>
        <w:t>RONALDO NAZARENO BARRA DE LEÃO 42872502220</w:t>
      </w:r>
    </w:p>
    <w:p w14:paraId="619F9FFF" w14:textId="77777777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   CNPJ 41.032.008/0001-17</w:t>
      </w:r>
    </w:p>
    <w:p w14:paraId="43C9E5FC" w14:textId="77777777" w:rsidR="00ED7C2F" w:rsidRDefault="00ED7C2F" w:rsidP="00ED7C2F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   CONTRATADO(A)</w:t>
      </w:r>
    </w:p>
    <w:p w14:paraId="3388C10D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2062D4A9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0A850F12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2D9FD771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6818E2D7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Testemunhas:</w:t>
      </w:r>
    </w:p>
    <w:p w14:paraId="1DC33550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64E1046B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27736C37" w14:textId="77777777" w:rsidR="00ED7C2F" w:rsidRDefault="00ED7C2F" w:rsidP="00ED7C2F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p w14:paraId="7DB7EE84" w14:textId="6D72C62F" w:rsidR="00275A8A" w:rsidRPr="00552C7F" w:rsidRDefault="00ED7C2F" w:rsidP="00ED7C2F">
      <w:pPr>
        <w:jc w:val="center"/>
        <w:rPr>
          <w:rFonts w:cstheme="minorHAnsi"/>
          <w:sz w:val="48"/>
          <w:szCs w:val="48"/>
        </w:rPr>
      </w:pPr>
      <w:r>
        <w:rPr>
          <w:lang w:val="x-none"/>
        </w:rPr>
        <w:t>1.________________________________                     2.___________________________</w:t>
      </w:r>
    </w:p>
    <w:sectPr w:rsidR="00275A8A" w:rsidRPr="00552C7F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5CEF" w14:textId="77777777" w:rsidR="00CE7738" w:rsidRDefault="00CE7738" w:rsidP="004E301A">
      <w:r>
        <w:separator/>
      </w:r>
    </w:p>
  </w:endnote>
  <w:endnote w:type="continuationSeparator" w:id="0">
    <w:p w14:paraId="09C56675" w14:textId="77777777" w:rsidR="00CE7738" w:rsidRDefault="00CE7738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DBC3" w14:textId="77777777" w:rsidR="00CE7738" w:rsidRDefault="00CE7738" w:rsidP="004E301A">
      <w:r>
        <w:separator/>
      </w:r>
    </w:p>
  </w:footnote>
  <w:footnote w:type="continuationSeparator" w:id="0">
    <w:p w14:paraId="72FCA56E" w14:textId="77777777" w:rsidR="00CE7738" w:rsidRDefault="00CE7738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2F7C3FFF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865E54">
      <w:rPr>
        <w:rFonts w:ascii="Century" w:hAnsi="Century"/>
      </w:rPr>
      <w:t>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1149A"/>
    <w:rsid w:val="00035A5B"/>
    <w:rsid w:val="00041B7D"/>
    <w:rsid w:val="00053053"/>
    <w:rsid w:val="000725FA"/>
    <w:rsid w:val="00080F42"/>
    <w:rsid w:val="000A2E83"/>
    <w:rsid w:val="000B6ECF"/>
    <w:rsid w:val="000D0FB8"/>
    <w:rsid w:val="000E03FB"/>
    <w:rsid w:val="000E40DC"/>
    <w:rsid w:val="000F6B65"/>
    <w:rsid w:val="00113BFE"/>
    <w:rsid w:val="0011798F"/>
    <w:rsid w:val="001243FF"/>
    <w:rsid w:val="00130830"/>
    <w:rsid w:val="00135B80"/>
    <w:rsid w:val="00140707"/>
    <w:rsid w:val="001420BE"/>
    <w:rsid w:val="00155428"/>
    <w:rsid w:val="00160D74"/>
    <w:rsid w:val="00161535"/>
    <w:rsid w:val="00164945"/>
    <w:rsid w:val="00184B60"/>
    <w:rsid w:val="0018657C"/>
    <w:rsid w:val="00190E09"/>
    <w:rsid w:val="00197ED3"/>
    <w:rsid w:val="001A06C7"/>
    <w:rsid w:val="001B6D11"/>
    <w:rsid w:val="001C5DCD"/>
    <w:rsid w:val="001D28B9"/>
    <w:rsid w:val="001D3376"/>
    <w:rsid w:val="001D6E59"/>
    <w:rsid w:val="00210A79"/>
    <w:rsid w:val="00214552"/>
    <w:rsid w:val="002146BE"/>
    <w:rsid w:val="00230C52"/>
    <w:rsid w:val="002321E7"/>
    <w:rsid w:val="00266B9D"/>
    <w:rsid w:val="00275A8A"/>
    <w:rsid w:val="002761BC"/>
    <w:rsid w:val="00276B60"/>
    <w:rsid w:val="00277213"/>
    <w:rsid w:val="00285B17"/>
    <w:rsid w:val="00286814"/>
    <w:rsid w:val="002874E8"/>
    <w:rsid w:val="00293BE3"/>
    <w:rsid w:val="002947E1"/>
    <w:rsid w:val="002A74FB"/>
    <w:rsid w:val="002B2ACF"/>
    <w:rsid w:val="002C6C10"/>
    <w:rsid w:val="002D2DA8"/>
    <w:rsid w:val="002D76C5"/>
    <w:rsid w:val="00300F76"/>
    <w:rsid w:val="003114D1"/>
    <w:rsid w:val="00313ACA"/>
    <w:rsid w:val="003219FF"/>
    <w:rsid w:val="00356639"/>
    <w:rsid w:val="00361058"/>
    <w:rsid w:val="00370A9E"/>
    <w:rsid w:val="003B1ABC"/>
    <w:rsid w:val="003B4A93"/>
    <w:rsid w:val="003C0245"/>
    <w:rsid w:val="003C40AE"/>
    <w:rsid w:val="003C723C"/>
    <w:rsid w:val="003D76BF"/>
    <w:rsid w:val="003F1A95"/>
    <w:rsid w:val="003F5D12"/>
    <w:rsid w:val="00403456"/>
    <w:rsid w:val="004118ED"/>
    <w:rsid w:val="00413681"/>
    <w:rsid w:val="00414580"/>
    <w:rsid w:val="00417D3D"/>
    <w:rsid w:val="00424BA6"/>
    <w:rsid w:val="00435456"/>
    <w:rsid w:val="00446638"/>
    <w:rsid w:val="004630AB"/>
    <w:rsid w:val="004712DD"/>
    <w:rsid w:val="00494928"/>
    <w:rsid w:val="004A0D97"/>
    <w:rsid w:val="004A37D4"/>
    <w:rsid w:val="004A5475"/>
    <w:rsid w:val="004B77E4"/>
    <w:rsid w:val="004C416A"/>
    <w:rsid w:val="004E301A"/>
    <w:rsid w:val="004E3C89"/>
    <w:rsid w:val="004E3F2C"/>
    <w:rsid w:val="004F3202"/>
    <w:rsid w:val="004F3E7C"/>
    <w:rsid w:val="00505DB4"/>
    <w:rsid w:val="005075A9"/>
    <w:rsid w:val="00523691"/>
    <w:rsid w:val="00525146"/>
    <w:rsid w:val="00535D0A"/>
    <w:rsid w:val="0054125E"/>
    <w:rsid w:val="00542B00"/>
    <w:rsid w:val="00552C7F"/>
    <w:rsid w:val="005933B0"/>
    <w:rsid w:val="005B4846"/>
    <w:rsid w:val="005C4C39"/>
    <w:rsid w:val="005C7DE1"/>
    <w:rsid w:val="005D0FC1"/>
    <w:rsid w:val="005D4240"/>
    <w:rsid w:val="005D695E"/>
    <w:rsid w:val="005F3597"/>
    <w:rsid w:val="005F45B7"/>
    <w:rsid w:val="005F7637"/>
    <w:rsid w:val="006030BB"/>
    <w:rsid w:val="00604994"/>
    <w:rsid w:val="006124F3"/>
    <w:rsid w:val="006278C0"/>
    <w:rsid w:val="00627C43"/>
    <w:rsid w:val="00635A2C"/>
    <w:rsid w:val="0065330D"/>
    <w:rsid w:val="00675F9E"/>
    <w:rsid w:val="006817BD"/>
    <w:rsid w:val="00693627"/>
    <w:rsid w:val="006A5C84"/>
    <w:rsid w:val="006B6204"/>
    <w:rsid w:val="006C5E4A"/>
    <w:rsid w:val="006D15E0"/>
    <w:rsid w:val="006E31E0"/>
    <w:rsid w:val="006E78C6"/>
    <w:rsid w:val="006F6D41"/>
    <w:rsid w:val="00721165"/>
    <w:rsid w:val="00737D0B"/>
    <w:rsid w:val="00745CA0"/>
    <w:rsid w:val="00752211"/>
    <w:rsid w:val="00787FE7"/>
    <w:rsid w:val="00790099"/>
    <w:rsid w:val="0079107F"/>
    <w:rsid w:val="00796AC8"/>
    <w:rsid w:val="007A1A60"/>
    <w:rsid w:val="007B3543"/>
    <w:rsid w:val="007B6554"/>
    <w:rsid w:val="007C32B8"/>
    <w:rsid w:val="0081653F"/>
    <w:rsid w:val="008200DD"/>
    <w:rsid w:val="008351CE"/>
    <w:rsid w:val="00840A41"/>
    <w:rsid w:val="00864B17"/>
    <w:rsid w:val="00865E54"/>
    <w:rsid w:val="0087362E"/>
    <w:rsid w:val="008741CA"/>
    <w:rsid w:val="008D594A"/>
    <w:rsid w:val="008D6129"/>
    <w:rsid w:val="008E42E8"/>
    <w:rsid w:val="008F244B"/>
    <w:rsid w:val="008F4078"/>
    <w:rsid w:val="008F5E1E"/>
    <w:rsid w:val="00915E47"/>
    <w:rsid w:val="00953E49"/>
    <w:rsid w:val="00954367"/>
    <w:rsid w:val="00955170"/>
    <w:rsid w:val="009747AC"/>
    <w:rsid w:val="00976FC2"/>
    <w:rsid w:val="00986578"/>
    <w:rsid w:val="009927CB"/>
    <w:rsid w:val="00994458"/>
    <w:rsid w:val="00997AE6"/>
    <w:rsid w:val="009C1E41"/>
    <w:rsid w:val="009C7924"/>
    <w:rsid w:val="009D3CF4"/>
    <w:rsid w:val="009D5F5B"/>
    <w:rsid w:val="009E7D44"/>
    <w:rsid w:val="009F0C40"/>
    <w:rsid w:val="00A054E7"/>
    <w:rsid w:val="00A17662"/>
    <w:rsid w:val="00A26F00"/>
    <w:rsid w:val="00A42755"/>
    <w:rsid w:val="00A55568"/>
    <w:rsid w:val="00A576DC"/>
    <w:rsid w:val="00A8470D"/>
    <w:rsid w:val="00A8649B"/>
    <w:rsid w:val="00AA1F76"/>
    <w:rsid w:val="00AA253F"/>
    <w:rsid w:val="00AA3A8B"/>
    <w:rsid w:val="00AC7C80"/>
    <w:rsid w:val="00AE0534"/>
    <w:rsid w:val="00AE71F3"/>
    <w:rsid w:val="00AE7B06"/>
    <w:rsid w:val="00B03C31"/>
    <w:rsid w:val="00B23BCE"/>
    <w:rsid w:val="00B54155"/>
    <w:rsid w:val="00B63486"/>
    <w:rsid w:val="00B635A3"/>
    <w:rsid w:val="00B66562"/>
    <w:rsid w:val="00B80FC9"/>
    <w:rsid w:val="00B847F8"/>
    <w:rsid w:val="00B92C63"/>
    <w:rsid w:val="00B962D1"/>
    <w:rsid w:val="00B9635C"/>
    <w:rsid w:val="00BA1455"/>
    <w:rsid w:val="00BB0630"/>
    <w:rsid w:val="00BC491A"/>
    <w:rsid w:val="00C04B28"/>
    <w:rsid w:val="00C05CB7"/>
    <w:rsid w:val="00C06131"/>
    <w:rsid w:val="00C0740C"/>
    <w:rsid w:val="00C14000"/>
    <w:rsid w:val="00C14069"/>
    <w:rsid w:val="00C217D5"/>
    <w:rsid w:val="00C22E83"/>
    <w:rsid w:val="00C266DA"/>
    <w:rsid w:val="00C31BA8"/>
    <w:rsid w:val="00C34685"/>
    <w:rsid w:val="00C55A0E"/>
    <w:rsid w:val="00C777F0"/>
    <w:rsid w:val="00C8490A"/>
    <w:rsid w:val="00C92DA1"/>
    <w:rsid w:val="00CA00F6"/>
    <w:rsid w:val="00CB0221"/>
    <w:rsid w:val="00CB0DC5"/>
    <w:rsid w:val="00CB6058"/>
    <w:rsid w:val="00CC471C"/>
    <w:rsid w:val="00CD3CFD"/>
    <w:rsid w:val="00CE7738"/>
    <w:rsid w:val="00CF132D"/>
    <w:rsid w:val="00D0042F"/>
    <w:rsid w:val="00D0353E"/>
    <w:rsid w:val="00D103C4"/>
    <w:rsid w:val="00D10F70"/>
    <w:rsid w:val="00D151C5"/>
    <w:rsid w:val="00D20562"/>
    <w:rsid w:val="00D2115C"/>
    <w:rsid w:val="00D40020"/>
    <w:rsid w:val="00D40AD8"/>
    <w:rsid w:val="00D429B8"/>
    <w:rsid w:val="00D44E19"/>
    <w:rsid w:val="00D46603"/>
    <w:rsid w:val="00D66C4E"/>
    <w:rsid w:val="00D77916"/>
    <w:rsid w:val="00D842C2"/>
    <w:rsid w:val="00DB0949"/>
    <w:rsid w:val="00DC08B7"/>
    <w:rsid w:val="00DD5643"/>
    <w:rsid w:val="00DD72F3"/>
    <w:rsid w:val="00E0736E"/>
    <w:rsid w:val="00E07866"/>
    <w:rsid w:val="00E17F94"/>
    <w:rsid w:val="00E33547"/>
    <w:rsid w:val="00E37B7D"/>
    <w:rsid w:val="00E40678"/>
    <w:rsid w:val="00E51ED9"/>
    <w:rsid w:val="00E53355"/>
    <w:rsid w:val="00E61519"/>
    <w:rsid w:val="00E72D4D"/>
    <w:rsid w:val="00E92C28"/>
    <w:rsid w:val="00E955AF"/>
    <w:rsid w:val="00E9579F"/>
    <w:rsid w:val="00E97FBC"/>
    <w:rsid w:val="00EA4FDC"/>
    <w:rsid w:val="00EB2071"/>
    <w:rsid w:val="00EC5484"/>
    <w:rsid w:val="00EC6392"/>
    <w:rsid w:val="00ED02A3"/>
    <w:rsid w:val="00ED1C33"/>
    <w:rsid w:val="00ED450D"/>
    <w:rsid w:val="00ED75AD"/>
    <w:rsid w:val="00ED7C2F"/>
    <w:rsid w:val="00EF2B9D"/>
    <w:rsid w:val="00F2725F"/>
    <w:rsid w:val="00F3126E"/>
    <w:rsid w:val="00F34A3A"/>
    <w:rsid w:val="00F35BCC"/>
    <w:rsid w:val="00F36E41"/>
    <w:rsid w:val="00F67000"/>
    <w:rsid w:val="00F82622"/>
    <w:rsid w:val="00F83F61"/>
    <w:rsid w:val="00FB6776"/>
    <w:rsid w:val="00FC759E"/>
    <w:rsid w:val="00FD154A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E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1490</Words>
  <Characters>8047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2</cp:revision>
  <cp:lastPrinted>2021-12-22T19:51:00Z</cp:lastPrinted>
  <dcterms:created xsi:type="dcterms:W3CDTF">2022-01-17T12:54:00Z</dcterms:created>
  <dcterms:modified xsi:type="dcterms:W3CDTF">2022-01-17T12:54:00Z</dcterms:modified>
</cp:coreProperties>
</file>